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5.4.0 -->
  <w:body>
    <w:p w:rsidR="00A77B3E">
      <w:pPr>
        <w:spacing w:line="276" w:lineRule="auto"/>
        <w:ind w:left="0"/>
        <w:jc w:val="center"/>
        <w:rPr>
          <w:rFonts w:ascii="Verdana" w:eastAsia="Verdana" w:hAnsi="Verdana" w:cs="Verdana"/>
          <w:b/>
          <w:caps/>
          <w:sz w:val="24"/>
        </w:rPr>
      </w:pPr>
      <w:r>
        <w:rPr>
          <w:rFonts w:ascii="Verdana" w:eastAsia="Verdana" w:hAnsi="Verdana" w:cs="Verdana"/>
          <w:b/>
          <w:caps/>
          <w:sz w:val="24"/>
        </w:rPr>
        <w:t>Uchwała</w:t>
      </w:r>
      <w:r>
        <w:rPr>
          <w:rFonts w:ascii="Verdana" w:eastAsia="Verdana" w:hAnsi="Verdana" w:cs="Verdana"/>
          <w:b/>
          <w:caps/>
          <w:sz w:val="24"/>
        </w:rPr>
        <w:t xml:space="preserve"> nr XXX/299/2026</w:t>
      </w:r>
      <w:r>
        <w:rPr>
          <w:rFonts w:ascii="Verdana" w:eastAsia="Verdana" w:hAnsi="Verdana" w:cs="Verdana"/>
          <w:b/>
          <w:caps/>
          <w:sz w:val="24"/>
        </w:rPr>
        <w:br/>
      </w:r>
      <w:r>
        <w:rPr>
          <w:rFonts w:ascii="Verdana" w:eastAsia="Verdana" w:hAnsi="Verdana" w:cs="Verdana"/>
          <w:b/>
          <w:caps/>
          <w:sz w:val="24"/>
        </w:rPr>
        <w:t>Rady Gminy Komorniki</w:t>
      </w:r>
    </w:p>
    <w:p w:rsidR="00A77B3E">
      <w:pPr>
        <w:spacing w:before="280" w:after="280" w:line="276" w:lineRule="auto"/>
        <w:ind w:left="0"/>
        <w:jc w:val="center"/>
        <w:rPr>
          <w:rFonts w:ascii="Verdana" w:eastAsia="Verdana" w:hAnsi="Verdana" w:cs="Verdana"/>
          <w:b/>
          <w:caps/>
          <w:sz w:val="24"/>
        </w:rPr>
      </w:pPr>
      <w:r>
        <w:rPr>
          <w:rFonts w:ascii="Verdana" w:eastAsia="Verdana" w:hAnsi="Verdana" w:cs="Verdana"/>
          <w:b w:val="0"/>
          <w:caps w:val="0"/>
          <w:sz w:val="24"/>
        </w:rPr>
        <w:t>z dnia 26 stycznia 2026 r.</w:t>
      </w:r>
    </w:p>
    <w:p w:rsidR="00A77B3E">
      <w:pPr>
        <w:keepNext/>
        <w:spacing w:before="0" w:after="480" w:line="276" w:lineRule="auto"/>
        <w:ind w:left="0" w:right="0" w:firstLine="0"/>
        <w:jc w:val="center"/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</w:pPr>
      <w:r>
        <w:rPr>
          <w:rFonts w:ascii="Verdana" w:eastAsia="Verdana" w:hAnsi="Verdana" w:cs="Verdana"/>
          <w:b/>
          <w:caps w:val="0"/>
          <w:sz w:val="24"/>
        </w:rPr>
        <w:t>w sprawie realizacji Programu „Asystent Osobisty Osoby z Niepełnosprawnością” – edycja 2026</w:t>
      </w:r>
    </w:p>
    <w:p w:rsidR="00A77B3E">
      <w:pPr>
        <w:keepNext w:val="0"/>
        <w:keepLines/>
        <w:spacing w:before="120" w:after="120" w:line="276" w:lineRule="auto"/>
        <w:ind w:left="0" w:right="0" w:firstLine="227"/>
        <w:jc w:val="left"/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</w:pP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Na podstawie art.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18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ust.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2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pkt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15, art.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40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ust.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1, art.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41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ust.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1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i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art.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42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ustawy z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dnia 8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marca 1990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r. o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samorządzie gminnym (tj. Dz.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U. z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2025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r., poz.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1153 ze zm.) oraz art.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35a ust.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1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pkt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2, art.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47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ust.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1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pkt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4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ustawy z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dnia 27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sierpnia 1997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r. o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rehabilitacji zawodowej i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społecznej oraz zatrudnianiu osób niepełnosprawnych (t.j. Dz.U. z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2025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r. poz.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913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ze zm.) w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związku z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Programem Ministra Rodziny, Pracy i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Polityki Społecznej ,,Asystent Osobisty Osoby z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Niepełnosprawnością” dla jednostek Samorządu Terytorialnego – edycja 2026r. Rada Gminy Komorniki, uchwala, co następuje:</w:t>
      </w:r>
    </w:p>
    <w:p w:rsidR="00A77B3E">
      <w:pPr>
        <w:keepNext w:val="0"/>
        <w:keepLines/>
        <w:spacing w:before="120" w:after="120" w:line="276" w:lineRule="auto"/>
        <w:ind w:left="0" w:right="0" w:firstLine="340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rFonts w:ascii="Verdana" w:eastAsia="Verdana" w:hAnsi="Verdana" w:cs="Verdana"/>
          <w:b/>
          <w:sz w:val="24"/>
        </w:rPr>
        <w:t>§ 1. </w:t>
      </w:r>
      <w:r>
        <w:rPr>
          <w:rFonts w:ascii="Verdana" w:eastAsia="Verdana" w:hAnsi="Verdana" w:cs="Verdana"/>
          <w:sz w:val="24"/>
        </w:rPr>
        <w:t>1. 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auto"/>
          <w:sz w:val="24"/>
          <w:u w:val="none"/>
          <w:vertAlign w:val="baseline"/>
        </w:rPr>
        <w:t>Gmina Komorniki przystępuje do realizacji rządowego Programu Ministerstwa Rodziny, Pracy  i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auto"/>
          <w:sz w:val="24"/>
          <w:u w:val="none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auto"/>
          <w:sz w:val="24"/>
          <w:u w:val="none"/>
          <w:vertAlign w:val="baseline"/>
        </w:rPr>
        <w:t>Polityki Społecznej „Asystent Osobisty Osoby z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auto"/>
          <w:sz w:val="24"/>
          <w:u w:val="none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auto"/>
          <w:sz w:val="24"/>
          <w:u w:val="none"/>
          <w:vertAlign w:val="baseline"/>
        </w:rPr>
        <w:t>Niepełnosprawnością” – edycja 2026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auto"/>
          <w:sz w:val="24"/>
          <w:u w:val="none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auto"/>
          <w:sz w:val="24"/>
          <w:u w:val="none"/>
          <w:vertAlign w:val="baseline"/>
        </w:rPr>
        <w:t>zwanego dalej „Programem”.</w:t>
      </w:r>
    </w:p>
    <w:p w:rsidR="00A77B3E">
      <w:pPr>
        <w:keepNext w:val="0"/>
        <w:keepLines/>
        <w:spacing w:before="120" w:after="120" w:line="276" w:lineRule="auto"/>
        <w:ind w:left="0" w:right="0" w:firstLine="340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rFonts w:ascii="Verdana" w:eastAsia="Verdana" w:hAnsi="Verdana" w:cs="Verdana"/>
          <w:sz w:val="24"/>
        </w:rPr>
        <w:t>2. 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Program adresowany jest do:</w:t>
      </w:r>
    </w:p>
    <w:p w:rsidR="00A77B3E">
      <w:pPr>
        <w:keepNext w:val="0"/>
        <w:keepLines w:val="0"/>
        <w:spacing w:before="120" w:after="120" w:line="276" w:lineRule="auto"/>
        <w:ind w:left="340" w:right="0" w:hanging="227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rFonts w:ascii="Verdana" w:eastAsia="Verdana" w:hAnsi="Verdana" w:cs="Verdana"/>
          <w:sz w:val="24"/>
        </w:rPr>
        <w:t>1)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dzieci od ukończenia 2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roku życia  do ukończenia 16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roku życia posiadających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orzeczenie o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niepełnosprawności łącznie ze wskazaniami: konieczności stałej lub długotrwałej opieki lub pomocy innej osoby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związku ze znacznie ograniczoną możliwością samodzielnej egzystencji oraz konieczności stałego współudziału na co dzień opiekuna dziecka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procesie jego leczenia, rehabilitacji i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edukacji oraz</w:t>
      </w:r>
    </w:p>
    <w:p w:rsidR="00A77B3E">
      <w:pPr>
        <w:keepNext w:val="0"/>
        <w:keepLines w:val="0"/>
        <w:spacing w:before="120" w:after="120" w:line="276" w:lineRule="auto"/>
        <w:ind w:left="340" w:right="0" w:hanging="227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rFonts w:ascii="Verdana" w:eastAsia="Verdana" w:hAnsi="Verdana" w:cs="Verdana"/>
          <w:sz w:val="24"/>
        </w:rPr>
        <w:t>2)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osób z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niepełnosprawnościami posiadającymi orzeczenie o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znacznym stopniu niepełnosprawności  albo  umiarkowanym stopniu niepełnosprawności, albo traktowane na równi z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orzeczeniami  wymienionymi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literze a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i b, zgodnie z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art.5 i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art.62 ustawy z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dnia 27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sierpnia 1997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r. o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rehabilitacji zawodowej i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społecznej oraz zatrudnianiu osób niepełnosprawnych (tj. Dz.U. z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2025r. poz.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913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ze zm.).</w:t>
      </w:r>
    </w:p>
    <w:p w:rsidR="00A77B3E">
      <w:pPr>
        <w:keepNext w:val="0"/>
        <w:keepLines/>
        <w:spacing w:before="120" w:after="120" w:line="276" w:lineRule="auto"/>
        <w:ind w:left="0" w:right="0" w:firstLine="340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rFonts w:ascii="Verdana" w:eastAsia="Verdana" w:hAnsi="Verdana" w:cs="Verdana"/>
          <w:b/>
          <w:sz w:val="24"/>
        </w:rPr>
        <w:t>§ 2. </w:t>
      </w:r>
      <w:r>
        <w:rPr>
          <w:rFonts w:ascii="Verdana" w:eastAsia="Verdana" w:hAnsi="Verdana" w:cs="Verdana"/>
          <w:b/>
          <w:i w:val="0"/>
          <w:caps w:val="0"/>
          <w:strike w:val="0"/>
          <w:color w:val="000000"/>
          <w:sz w:val="24"/>
          <w:u w:val="none" w:color="000000"/>
          <w:vertAlign w:val="baseline"/>
        </w:rPr>
        <w:t>1 Program będzie realizowany przez Ośrodek Pomocy Społecznej w</w:t>
      </w:r>
      <w:r>
        <w:rPr>
          <w:rFonts w:ascii="Verdana" w:eastAsia="Verdana" w:hAnsi="Verdana" w:cs="Verdana"/>
          <w:b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/>
          <w:i w:val="0"/>
          <w:caps w:val="0"/>
          <w:strike w:val="0"/>
          <w:color w:val="000000"/>
          <w:sz w:val="24"/>
          <w:u w:val="none" w:color="000000"/>
          <w:vertAlign w:val="baseline"/>
        </w:rPr>
        <w:t xml:space="preserve">Komornikach. </w:t>
      </w:r>
    </w:p>
    <w:p w:rsidR="00A77B3E">
      <w:pPr>
        <w:keepNext w:val="0"/>
        <w:keepLines/>
        <w:spacing w:before="120" w:after="120" w:line="276" w:lineRule="auto"/>
        <w:ind w:left="0" w:right="0" w:firstLine="340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rFonts w:ascii="Verdana" w:eastAsia="Verdana" w:hAnsi="Verdana" w:cs="Verdana"/>
          <w:sz w:val="24"/>
        </w:rPr>
        <w:t>2. 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Termin realizacji Programu ustalono na okres od dnia podpisania umowy przez Gminę Komorniki z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Wojewodą Wielkopolskim do dnia 31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grudnia 2026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roku.</w:t>
      </w:r>
    </w:p>
    <w:p w:rsidR="00A77B3E">
      <w:pPr>
        <w:keepNext w:val="0"/>
        <w:keepLines/>
        <w:spacing w:before="120" w:after="120" w:line="276" w:lineRule="auto"/>
        <w:ind w:left="0" w:right="0" w:firstLine="340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rFonts w:ascii="Verdana" w:eastAsia="Verdana" w:hAnsi="Verdana" w:cs="Verdana"/>
          <w:sz w:val="24"/>
        </w:rPr>
        <w:t>3. 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Termin poniesienia wydatków dla środków finansowych pochodzących z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Programu ustalono na okres od dnia podpisania umowy przez Gminę do dnia 31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grudnia 2026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roku.</w:t>
      </w:r>
    </w:p>
    <w:p w:rsidR="00A77B3E">
      <w:pPr>
        <w:keepNext w:val="0"/>
        <w:keepLines/>
        <w:spacing w:before="120" w:after="120" w:line="276" w:lineRule="auto"/>
        <w:ind w:left="0" w:right="0" w:firstLine="340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rFonts w:ascii="Verdana" w:eastAsia="Verdana" w:hAnsi="Verdana" w:cs="Verdana"/>
          <w:b/>
          <w:sz w:val="24"/>
        </w:rPr>
        <w:t>§ 3. </w:t>
      </w:r>
      <w:r>
        <w:rPr>
          <w:rFonts w:ascii="Verdana" w:eastAsia="Verdana" w:hAnsi="Verdana" w:cs="Verdana"/>
          <w:sz w:val="24"/>
        </w:rPr>
        <w:t>1. 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Źródła finansowania: środki z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Funduszu Solidarnościowego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wysokości 430.174,67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zł. 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 xml:space="preserve">tym: </w:t>
      </w:r>
    </w:p>
    <w:p w:rsidR="00A77B3E">
      <w:pPr>
        <w:keepNext w:val="0"/>
        <w:keepLines w:val="0"/>
        <w:spacing w:before="120" w:after="120" w:line="276" w:lineRule="auto"/>
        <w:ind w:left="340" w:right="0" w:hanging="227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rFonts w:ascii="Verdana" w:eastAsia="Verdana" w:hAnsi="Verdana" w:cs="Verdana"/>
          <w:sz w:val="24"/>
        </w:rPr>
        <w:t>1)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427.400,00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zł – na realizację usług asystenckich, zakup biletów komunikacji publicznej/prywatnej oraz koszt przejazdów asystentów własnym/udostępnionym przez osoby trzecie środkiem transportu, np. taksówką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związku z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wyjazdami, które dotyczą realizacji usług wymienionych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treści Programu oraz koszt zakupu biletów wstępu na wydarzenia kulturalne, rozrywkowe, sportowe lub społeczne itp. dla asystenta towarzyszącego uczestnikowi, ubezpieczeń OC lub NNW dla asystentów;</w:t>
      </w:r>
    </w:p>
    <w:p w:rsidR="00A77B3E">
      <w:pPr>
        <w:keepNext w:val="0"/>
        <w:keepLines w:val="0"/>
        <w:spacing w:before="120" w:after="120" w:line="276" w:lineRule="auto"/>
        <w:ind w:left="340" w:right="0" w:hanging="227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rFonts w:ascii="Verdana" w:eastAsia="Verdana" w:hAnsi="Verdana" w:cs="Verdana"/>
          <w:sz w:val="24"/>
        </w:rPr>
        <w:t>2)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2.774,67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zł – na obsługę programu przez Gminę Komorniki.</w:t>
      </w:r>
    </w:p>
    <w:p w:rsidR="00A77B3E">
      <w:pPr>
        <w:keepNext w:val="0"/>
        <w:keepLines/>
        <w:spacing w:before="120" w:after="120" w:line="276" w:lineRule="auto"/>
        <w:ind w:left="0" w:right="0" w:firstLine="340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rFonts w:ascii="Verdana" w:eastAsia="Verdana" w:hAnsi="Verdana" w:cs="Verdana"/>
          <w:b/>
          <w:sz w:val="24"/>
        </w:rPr>
        <w:t>§ 4.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Wykonanie uchwały powierza się Wójtowi Gminy Komorniki.</w:t>
      </w:r>
    </w:p>
    <w:p w:rsidR="00A77B3E">
      <w:pPr>
        <w:keepNext/>
        <w:keepLines/>
        <w:spacing w:before="120" w:after="120" w:line="276" w:lineRule="auto"/>
        <w:ind w:left="0" w:right="0" w:firstLine="340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rFonts w:ascii="Verdana" w:eastAsia="Verdana" w:hAnsi="Verdana" w:cs="Verdana"/>
          <w:b/>
          <w:sz w:val="24"/>
        </w:rPr>
        <w:t>§ 5.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Uchwała podlega ogłoszeniu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Dzienniku Urzędowym Województwa Wielkopolskiego i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wchodzi w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życie po upływie 14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 </w:t>
      </w:r>
      <w:r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t>dni od dnia ogłoszenia.</w:t>
      </w:r>
    </w:p>
    <w:p w:rsidR="00A77B3E">
      <w:pPr>
        <w:keepNext/>
        <w:keepLines/>
        <w:spacing w:before="120" w:after="120" w:line="276" w:lineRule="auto"/>
        <w:ind w:left="0" w:right="0" w:firstLine="340"/>
        <w:jc w:val="left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</w:p>
    <w:p w:rsidR="00A77B3E">
      <w:pPr>
        <w:keepNext/>
        <w:spacing w:before="0" w:after="0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</w:pPr>
      <w:r>
        <w:rPr>
          <w:b w:val="0"/>
          <w:i w:val="0"/>
          <w:color w:val="000000"/>
          <w:u w:val="none"/>
          <w:vertAlign w:val="baseline"/>
        </w:rPr>
        <w:t> </w:t>
      </w:r>
    </w:p>
    <w:tbl>
      <w:tblPr>
        <w:tblW w:w="5000" w:type="pct"/>
        <w:tblCellMar>
          <w:top w:w="0" w:type="dxa"/>
          <w:left w:w="0" w:type="dxa"/>
          <w:bottom w:w="0" w:type="dxa"/>
          <w:right w:w="0" w:type="dxa"/>
        </w:tblCellMar>
      </w:tblPr>
      <w:tblGrid>
        <w:gridCol w:w="4933"/>
        <w:gridCol w:w="4933"/>
      </w:tblGrid>
      <w:tr>
        <w:tblPrEx>
          <w:tblW w:w="5000" w:type="pct"/>
        </w:tblPrEx>
        <w:tc>
          <w:tcPr>
            <w:tcW w:w="2500" w:type="pc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keepNext/>
              <w:keepLines/>
              <w:jc w:val="left"/>
              <w:rPr>
                <w:rFonts w:ascii="Verdana" w:eastAsia="Verdana" w:hAnsi="Verdana" w:cs="Verdana"/>
                <w:b w:val="0"/>
                <w:bCs w:val="0"/>
                <w:i w:val="0"/>
                <w:iCs w:val="0"/>
                <w:smallCaps w:val="0"/>
                <w:color w:val="000000"/>
                <w:sz w:val="24"/>
              </w:rPr>
            </w:pPr>
          </w:p>
        </w:tc>
        <w:tc>
          <w:tcPr>
            <w:tcW w:w="2500" w:type="pc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keepNext/>
              <w:keepLines/>
              <w:spacing w:before="560" w:after="560"/>
              <w:ind w:left="1134" w:right="1134" w:firstLine="0"/>
              <w:jc w:val="center"/>
              <w:rPr>
                <w:rFonts w:ascii="Verdana" w:eastAsia="Verdana" w:hAnsi="Verdana" w:cs="Verdana"/>
                <w:b w:val="0"/>
                <w:bCs w:val="0"/>
                <w:i w:val="0"/>
                <w:iCs w:val="0"/>
                <w:smallCaps w:val="0"/>
                <w:color w:val="000000"/>
                <w:sz w:val="24"/>
              </w:rPr>
            </w:pPr>
            <w:r>
              <w:rPr>
                <w:rFonts w:ascii="Verdana" w:eastAsia="Verdana" w:hAnsi="Verdana" w:cs="Verdana"/>
                <w:b w:val="0"/>
                <w:bCs w:val="0"/>
                <w:i w:val="0"/>
                <w:iCs w:val="0"/>
                <w:smallCaps w:val="0"/>
                <w:color w:val="000000"/>
                <w:sz w:val="24"/>
              </w:rPr>
              <w:t>Przewodniczący Rady Gminy Komorniki</w:t>
            </w:r>
            <w:r>
              <w:rPr>
                <w:rFonts w:ascii="Verdana" w:eastAsia="Verdana" w:hAnsi="Verdana" w:cs="Verdana"/>
                <w:b w:val="0"/>
                <w:bCs w:val="0"/>
                <w:i w:val="0"/>
                <w:iCs w:val="0"/>
                <w:smallCaps w:val="0"/>
                <w:color w:val="000000"/>
                <w:sz w:val="24"/>
              </w:rPr>
              <w:br/>
            </w:r>
            <w:r>
              <w:rPr>
                <w:rFonts w:ascii="Verdana" w:eastAsia="Verdana" w:hAnsi="Verdana" w:cs="Verdana"/>
                <w:b w:val="0"/>
                <w:bCs w:val="0"/>
                <w:i w:val="0"/>
                <w:iCs w:val="0"/>
                <w:smallCaps w:val="0"/>
                <w:color w:val="000000"/>
                <w:sz w:val="24"/>
              </w:rPr>
              <w:br/>
            </w:r>
            <w:r>
              <w:rPr>
                <w:rFonts w:ascii="Verdana" w:eastAsia="Verdana" w:hAnsi="Verdana" w:cs="Verdana"/>
                <w:b w:val="0"/>
                <w:bCs w:val="0"/>
                <w:i w:val="0"/>
                <w:iCs w:val="0"/>
                <w:smallCaps w:val="0"/>
                <w:color w:val="000000"/>
                <w:sz w:val="24"/>
              </w:rPr>
              <w:br/>
            </w:r>
            <w:r>
              <w:rPr>
                <w:b/>
                <w:i w:val="0"/>
              </w:rPr>
              <w:t>Marek Kubiak</w:t>
            </w:r>
          </w:p>
        </w:tc>
      </w:tr>
    </w:tbl>
    <w:p w:rsidR="00A77B3E">
      <w:pPr>
        <w:keepNext/>
        <w:spacing w:before="0" w:after="0"/>
        <w:rPr>
          <w:rFonts w:ascii="Verdana" w:eastAsia="Verdana" w:hAnsi="Verdana" w:cs="Verdana"/>
          <w:b w:val="0"/>
          <w:i w:val="0"/>
          <w:caps w:val="0"/>
          <w:strike w:val="0"/>
          <w:color w:val="000000"/>
          <w:sz w:val="24"/>
          <w:u w:val="none" w:color="000000"/>
          <w:vertAlign w:val="baseline"/>
        </w:rPr>
        <w:sectPr>
          <w:footerReference w:type="default" r:id="rId4"/>
          <w:endnotePr>
            <w:numFmt w:val="decimal"/>
          </w:endnotePr>
          <w:pgSz w:w="11906" w:h="16838"/>
          <w:pgMar w:top="1417" w:right="1020" w:bottom="992" w:left="1020" w:header="708" w:footer="708" w:gutter="0"/>
          <w:cols w:space="708"/>
          <w:docGrid w:linePitch="360"/>
        </w:sectPr>
      </w:pP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contextualSpacing w:val="0"/>
        <w:rPr>
          <w:rFonts w:eastAsia="Times New Roman" w:cs="Times New Roman"/>
          <w:szCs w:val="20"/>
        </w:rPr>
      </w:pP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contextualSpacing w:val="0"/>
        <w:jc w:val="center"/>
        <w:rPr>
          <w:rFonts w:eastAsia="Times New Roman" w:cs="Times New Roman"/>
          <w:sz w:val="22"/>
          <w:szCs w:val="20"/>
        </w:rPr>
      </w:pPr>
      <w:r>
        <w:rPr>
          <w:rFonts w:eastAsia="Times New Roman" w:cs="Times New Roman"/>
          <w:b/>
          <w:sz w:val="22"/>
          <w:szCs w:val="20"/>
        </w:rPr>
        <w:t>Uzasadnienie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center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b/>
          <w:caps/>
          <w:szCs w:val="20"/>
        </w:rPr>
        <w:t>do uchwały NR XXX/</w:t>
      </w:r>
      <w:r>
        <w:rPr>
          <w:rFonts w:eastAsia="Times New Roman" w:cs="Times New Roman"/>
          <w:b/>
          <w:caps/>
          <w:szCs w:val="20"/>
        </w:rPr>
        <w:t>299</w:t>
      </w:r>
      <w:r>
        <w:rPr>
          <w:rFonts w:eastAsia="Times New Roman" w:cs="Times New Roman"/>
          <w:b/>
          <w:caps/>
          <w:szCs w:val="20"/>
        </w:rPr>
        <w:t>/2025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center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b/>
          <w:caps/>
          <w:color w:val="000000"/>
          <w:szCs w:val="20"/>
          <w:u w:color="000000"/>
        </w:rPr>
        <w:t>Rady Gminy Komorniki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center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z dnia 26 stycznia 2026 r.</w:t>
      </w:r>
    </w:p>
    <w:p>
      <w:pPr>
        <w:keepNext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</w:p>
    <w:p>
      <w:pPr>
        <w:keepNext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0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 xml:space="preserve"> </w:t>
      </w:r>
      <w:r>
        <w:rPr>
          <w:rFonts w:eastAsia="Times New Roman" w:cs="Times New Roman"/>
          <w:color w:val="000000"/>
          <w:szCs w:val="20"/>
          <w:u w:color="000000"/>
        </w:rPr>
        <w:t>Program „Asystent osobisty osoby z niepełnosprawnością” – edycja 2026 został opracowany przez Ministerstwo Rodziny, Pracy i Polityki Społecznej. Środki pochodzą z Funduszu Solidarnościowego. Program adresowany jest do dzieci od ukończenia 2 roku życia do ukończenia 16 roku życia posiadających orzeczenie o niepełnosprawności łącznie ze wskazaniami: konieczności stałej lub długotrwałej opieki lub pomocy innej osoby w związku ze znacznie ograniczoną możliwością samodzielnej egzystencji oraz konieczności stałego współudziału na co dzień opiekuna dziecka w procesie jego leczenia, rehabilitacji i edukacji oraz osób z niepełnosprawnościami posiadającymi orzeczenie o znacznym stopniu niepełnosprawności  albo  umiarkowanym stopniu niepełnosprawności, które wymagają usługi asystenta w wykonywaniu codziennych czynności oraz funkcjonowaniu w życiu społecznym. Usługi asystenta osobistego osoby  z niepełnosprawnością polegać mogą m.in. na pomocy w wyjściu, powrocie oraz/lub dojazdach w wybrane przez uczestnika Programu miejsce, załatwianiu spraw urzędowych, korzystaniu z dóbr kultury, wykonywaniu czynności dnia codziennego (z zastrzeżeniem aktywnego udziału uczestnika). Program ma na celu również przeciwdziałanie dyskryminacji i wykluczeniu społecznemu ww. osób z niepełnosprawnością. Celem Programu jest wprowadzenie usługi asystenta jako formy wsparcia dla osób z niepełnosprawnością. Realizację Programu w pełni pokrywają środki finansowe z Funduszu Solidarnościowego. Zasadnym jest realizacja przez Gminę Komorniki Programu „Asystent osobisty osoby z niepełnosprawnością” – edycja 2026. W związku z powyższym wnosi się</w:t>
      </w:r>
      <w:r>
        <w:rPr>
          <w:rFonts w:eastAsia="Times New Roman" w:cs="Times New Roman"/>
          <w:color w:val="000000"/>
          <w:szCs w:val="20"/>
          <w:u w:color="000000"/>
        </w:rPr>
        <w:t xml:space="preserve"> </w:t>
      </w:r>
      <w:r>
        <w:rPr>
          <w:rFonts w:eastAsia="Times New Roman" w:cs="Times New Roman"/>
          <w:color w:val="000000"/>
          <w:szCs w:val="20"/>
          <w:u w:color="000000"/>
        </w:rPr>
        <w:t>o podjęcie Uchwały.</w:t>
      </w:r>
    </w:p>
    <w:p>
      <w:pPr>
        <w:keepNext/>
        <w:keepLines w:val="0"/>
        <w:widowControl/>
        <w:suppressLineNumbers w:val="0"/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contextualSpacing w:val="0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  </w:t>
      </w:r>
    </w:p>
    <w:tbl>
      <w:tblPr>
        <w:tblStyle w:val="TableNormal"/>
        <w:tblW w:w="5000" w:type="pct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83"/>
        <w:gridCol w:w="5683"/>
      </w:tblGrid>
      <w:tr>
        <w:tblPrEx>
          <w:tblW w:w="5000" w:type="pct"/>
          <w:tblLayout w:type="fixed"/>
        </w:tblPrEx>
        <w:tc>
          <w:tcPr>
            <w:tcW w:w="4185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uppressAutoHyphens w:val="0"/>
              <w:spacing w:before="0" w:beforeAutospacing="0" w:after="0" w:afterAutospacing="0" w:line="240" w:lineRule="auto"/>
              <w:ind w:left="0" w:right="0" w:firstLine="0"/>
              <w:contextualSpacing w:val="0"/>
              <w:rPr>
                <w:rFonts w:eastAsia="Times New Roman" w:cs="Times New Roman"/>
                <w:color w:val="000000"/>
                <w:szCs w:val="20"/>
              </w:rPr>
            </w:pPr>
          </w:p>
        </w:tc>
        <w:tc>
          <w:tcPr>
            <w:tcW w:w="5685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keepNext/>
              <w:keepLines/>
              <w:widowControl/>
              <w:suppressLineNumbers w:val="0"/>
              <w:shd w:val="clear" w:color="auto" w:fill="auto"/>
              <w:suppressAutoHyphens w:val="0"/>
              <w:spacing w:before="560" w:beforeAutospacing="0" w:after="560" w:afterAutospacing="0" w:line="240" w:lineRule="auto"/>
              <w:ind w:left="1134" w:right="1134" w:firstLine="0"/>
              <w:contextualSpacing w:val="0"/>
              <w:jc w:val="center"/>
              <w:rPr>
                <w:rFonts w:eastAsia="Times New Roman" w:cs="Times New Roman"/>
                <w:b/>
                <w:color w:val="000000"/>
                <w:szCs w:val="20"/>
              </w:rPr>
            </w:pPr>
            <w:r>
              <w:rPr>
                <w:rFonts w:eastAsia="Times New Roman" w:cs="Times New Roman"/>
                <w:color w:val="000000"/>
                <w:szCs w:val="20"/>
              </w:rPr>
              <w:fldChar w:fldCharType="begin"/>
            </w:r>
            <w:r>
              <w:rPr>
                <w:rFonts w:eastAsia="Times New Roman" w:cs="Times New Roman"/>
                <w:color w:val="000000"/>
                <w:szCs w:val="20"/>
              </w:rPr>
              <w:instrText>MERGEFIELD SIGNATURE_0_0__FUNCTION \* MERGEFORMAT</w:instrText>
            </w:r>
            <w:r>
              <w:rPr>
                <w:rFonts w:eastAsia="Times New Roman" w:cs="Times New Roman"/>
                <w:color w:val="000000"/>
                <w:szCs w:val="20"/>
              </w:rPr>
              <w:fldChar w:fldCharType="separate"/>
            </w:r>
            <w:r>
              <w:rPr>
                <w:rFonts w:eastAsia="Times New Roman" w:cs="Times New Roman"/>
                <w:color w:val="000000"/>
                <w:szCs w:val="20"/>
              </w:rPr>
              <w:t>Wójt Gminy Komorniki</w:t>
            </w:r>
            <w:r>
              <w:rPr>
                <w:rFonts w:eastAsia="Times New Roman" w:cs="Times New Roman"/>
                <w:color w:val="000000"/>
                <w:szCs w:val="20"/>
              </w:rPr>
              <w:fldChar w:fldCharType="end"/>
            </w:r>
            <w:r>
              <w:rPr>
                <w:rFonts w:eastAsia="Times New Roman" w:cs="Times New Roman"/>
                <w:color w:val="000000"/>
                <w:szCs w:val="20"/>
              </w:rPr>
              <w:br/>
              <w:br/>
              <w:br/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fldChar w:fldCharType="begin"/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instrText>MERGEFIELD SIGNATURE_0_0_FIRSTNAME \* MERGEFORMAT</w:instrText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fldChar w:fldCharType="separate"/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t>Tomasz</w:t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fldChar w:fldCharType="end"/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t> </w:t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fldChar w:fldCharType="begin"/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instrText>MERGEFIELD SIGNATURE_0_0_LASTNAME \* MERGEFORMAT</w:instrText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fldChar w:fldCharType="separate"/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t>Stellmaszyk</w:t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fldChar w:fldCharType="end"/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t> </w:t>
            </w:r>
          </w:p>
        </w:tc>
      </w:tr>
    </w:tbl>
    <w:p>
      <w:pPr>
        <w:keepNext/>
        <w:keepLines w:val="0"/>
        <w:widowControl/>
        <w:suppressLineNumbers w:val="0"/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contextualSpacing w:val="0"/>
        <w:rPr>
          <w:rFonts w:eastAsia="Times New Roman" w:cs="Times New Roman"/>
          <w:color w:val="000000"/>
          <w:szCs w:val="20"/>
          <w:u w:color="000000"/>
        </w:rPr>
      </w:pPr>
    </w:p>
    <w:sectPr>
      <w:footerReference w:type="default" r:id="rId5"/>
      <w:endnotePr>
        <w:numFmt w:val="decimal"/>
      </w:endnotePr>
      <w:type w:val="nextPage"/>
      <w:pgSz w:w="11906" w:h="16838" w:code="0"/>
      <w:pgMar w:top="1417" w:right="1020" w:bottom="992" w:left="102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  <w:tblGrid>
      <w:gridCol w:w="6577"/>
      <w:gridCol w:w="3289"/>
    </w:tblGrid>
    <w:tr>
      <w:tblPrEx>
        <w:tblW w:w="5000" w:type="pct"/>
      </w:tblPrEx>
      <w:tc>
        <w:tcPr>
          <w:tcW w:w="6577" w:type="dxa"/>
          <w:tcBorders>
            <w:top w:val="single" w:sz="4" w:space="0" w:color="auto"/>
            <w:left w:val="nil"/>
            <w:bottom w:val="nil"/>
            <w:right w:val="nil"/>
          </w:tcBorders>
          <w:noWrap w:val="0"/>
          <w:tcMar>
            <w:top w:w="100" w:type="dxa"/>
            <w:left w:w="0" w:type="dxa"/>
            <w:bottom w:w="0" w:type="dxa"/>
            <w:right w:w="0" w:type="dxa"/>
          </w:tcMar>
          <w:vAlign w:val="top"/>
          <w:hideMark/>
        </w:tcPr>
        <w:p>
          <w:pPr>
            <w:jc w:val="left"/>
            <w:rPr>
              <w:rFonts w:ascii="Verdana" w:eastAsia="Verdana" w:hAnsi="Verdana" w:cs="Verdana"/>
              <w:b w:val="0"/>
              <w:sz w:val="18"/>
            </w:rPr>
          </w:pPr>
          <w:r>
            <w:rPr>
              <w:rFonts w:ascii="Verdana" w:eastAsia="Verdana" w:hAnsi="Verdana" w:cs="Verdana"/>
              <w:b w:val="0"/>
              <w:sz w:val="18"/>
            </w:rPr>
            <w:t>Id: 98F0BD15-7A40-4861-BB7A-CDD27FA02323. Podpisany</w:t>
          </w:r>
        </w:p>
      </w:tc>
      <w:tc>
        <w:tcPr>
          <w:tcW w:w="3289" w:type="dxa"/>
          <w:tcBorders>
            <w:top w:val="single" w:sz="4" w:space="0" w:color="auto"/>
            <w:left w:val="nil"/>
            <w:bottom w:val="nil"/>
            <w:right w:val="nil"/>
          </w:tcBorders>
          <w:noWrap w:val="0"/>
          <w:tcMar>
            <w:top w:w="100" w:type="dxa"/>
            <w:left w:w="0" w:type="dxa"/>
            <w:bottom w:w="0" w:type="dxa"/>
            <w:right w:w="0" w:type="dxa"/>
          </w:tcMar>
          <w:vAlign w:val="top"/>
          <w:hideMark/>
        </w:tcPr>
        <w:p>
          <w:pPr>
            <w:jc w:val="right"/>
            <w:rPr>
              <w:rFonts w:ascii="Verdana" w:eastAsia="Verdana" w:hAnsi="Verdana" w:cs="Verdana"/>
              <w:b w:val="0"/>
              <w:sz w:val="18"/>
            </w:rPr>
          </w:pPr>
          <w:r>
            <w:rPr>
              <w:rFonts w:ascii="Verdana" w:eastAsia="Verdana" w:hAnsi="Verdana" w:cs="Verdana"/>
              <w:b w:val="0"/>
              <w:sz w:val="18"/>
            </w:rPr>
            <w:t xml:space="preserve">Strona </w:t>
          </w:r>
          <w:r>
            <w:rPr>
              <w:rFonts w:ascii="Verdana" w:eastAsia="Verdana" w:hAnsi="Verdana" w:cs="Verdana"/>
              <w:b w:val="0"/>
              <w:sz w:val="18"/>
            </w:rPr>
            <w:fldChar w:fldCharType="begin"/>
          </w:r>
          <w:r>
            <w:rPr>
              <w:rFonts w:ascii="Verdana" w:eastAsia="Verdana" w:hAnsi="Verdana" w:cs="Verdana"/>
              <w:b w:val="0"/>
              <w:sz w:val="18"/>
            </w:rPr>
            <w:instrText>PAGE</w:instrText>
          </w:r>
          <w:r>
            <w:rPr>
              <w:rFonts w:ascii="Verdana" w:eastAsia="Verdana" w:hAnsi="Verdana" w:cs="Verdana"/>
              <w:b w:val="0"/>
              <w:sz w:val="18"/>
            </w:rPr>
            <w:fldChar w:fldCharType="separate"/>
          </w:r>
          <w:r>
            <w:rPr>
              <w:rFonts w:ascii="Verdana" w:eastAsia="Verdana" w:hAnsi="Verdana" w:cs="Verdana"/>
              <w:b w:val="0"/>
              <w:sz w:val="18"/>
            </w:rPr>
            <w:fldChar w:fldCharType="end"/>
          </w:r>
        </w:p>
      </w:tc>
    </w:tr>
  </w:tbl>
  <w:p>
    <w:pPr>
      <w:rPr>
        <w:rFonts w:ascii="Verdana" w:eastAsia="Verdana" w:hAnsi="Verdana" w:cs="Verdana"/>
        <w:b w:val="0"/>
        <w:sz w:val="18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  <w:tblGrid>
      <w:gridCol w:w="6577"/>
      <w:gridCol w:w="3289"/>
    </w:tblGrid>
    <w:tr>
      <w:tblPrEx>
        <w:tblW w:w="5000" w:type="pct"/>
      </w:tblPrEx>
      <w:tc>
        <w:tcPr>
          <w:tcW w:w="6577" w:type="dxa"/>
          <w:tcBorders>
            <w:top w:val="single" w:sz="4" w:space="0" w:color="auto"/>
            <w:left w:val="nil"/>
            <w:bottom w:val="nil"/>
            <w:right w:val="nil"/>
          </w:tcBorders>
          <w:noWrap w:val="0"/>
          <w:tcMar>
            <w:top w:w="100" w:type="dxa"/>
            <w:left w:w="0" w:type="dxa"/>
            <w:bottom w:w="0" w:type="dxa"/>
            <w:right w:w="0" w:type="dxa"/>
          </w:tcMar>
          <w:vAlign w:val="top"/>
          <w:hideMark/>
        </w:tcPr>
        <w:p>
          <w:pPr>
            <w:jc w:val="left"/>
            <w:rPr>
              <w:rFonts w:ascii="Verdana" w:eastAsia="Verdana" w:hAnsi="Verdana" w:cs="Verdana"/>
              <w:b w:val="0"/>
              <w:sz w:val="18"/>
            </w:rPr>
          </w:pPr>
          <w:r>
            <w:rPr>
              <w:rFonts w:ascii="Verdana" w:eastAsia="Verdana" w:hAnsi="Verdana" w:cs="Verdana"/>
              <w:b w:val="0"/>
              <w:sz w:val="18"/>
            </w:rPr>
            <w:t>Id: 98F0BD15-7A40-4861-BB7A-CDD27FA02323. Podpisany</w:t>
          </w:r>
        </w:p>
      </w:tc>
      <w:tc>
        <w:tcPr>
          <w:tcW w:w="3289" w:type="dxa"/>
          <w:tcBorders>
            <w:top w:val="single" w:sz="4" w:space="0" w:color="auto"/>
            <w:left w:val="nil"/>
            <w:bottom w:val="nil"/>
            <w:right w:val="nil"/>
          </w:tcBorders>
          <w:noWrap w:val="0"/>
          <w:tcMar>
            <w:top w:w="100" w:type="dxa"/>
            <w:left w:w="0" w:type="dxa"/>
            <w:bottom w:w="0" w:type="dxa"/>
            <w:right w:w="0" w:type="dxa"/>
          </w:tcMar>
          <w:vAlign w:val="top"/>
          <w:hideMark/>
        </w:tcPr>
        <w:p>
          <w:pPr>
            <w:jc w:val="right"/>
            <w:rPr>
              <w:rFonts w:ascii="Verdana" w:eastAsia="Verdana" w:hAnsi="Verdana" w:cs="Verdana"/>
              <w:b w:val="0"/>
              <w:sz w:val="18"/>
            </w:rPr>
          </w:pPr>
          <w:r>
            <w:rPr>
              <w:rFonts w:ascii="Verdana" w:eastAsia="Verdana" w:hAnsi="Verdana" w:cs="Verdana"/>
              <w:b w:val="0"/>
              <w:sz w:val="18"/>
            </w:rPr>
            <w:t xml:space="preserve">Strona </w:t>
          </w:r>
          <w:r>
            <w:rPr>
              <w:rFonts w:ascii="Verdana" w:eastAsia="Verdana" w:hAnsi="Verdana" w:cs="Verdana"/>
              <w:b w:val="0"/>
              <w:sz w:val="18"/>
            </w:rPr>
            <w:fldChar w:fldCharType="begin"/>
          </w:r>
          <w:r>
            <w:rPr>
              <w:rFonts w:ascii="Verdana" w:eastAsia="Verdana" w:hAnsi="Verdana" w:cs="Verdana"/>
              <w:b w:val="0"/>
              <w:sz w:val="18"/>
            </w:rPr>
            <w:instrText>PAGE</w:instrText>
          </w:r>
          <w:r>
            <w:rPr>
              <w:rFonts w:ascii="Verdana" w:eastAsia="Verdana" w:hAnsi="Verdana" w:cs="Verdana"/>
              <w:b w:val="0"/>
              <w:sz w:val="18"/>
            </w:rPr>
            <w:fldChar w:fldCharType="separate"/>
          </w:r>
          <w:r>
            <w:rPr>
              <w:rFonts w:ascii="Verdana" w:eastAsia="Verdana" w:hAnsi="Verdana" w:cs="Verdana"/>
              <w:b w:val="0"/>
              <w:sz w:val="18"/>
            </w:rPr>
            <w:fldChar w:fldCharType="end"/>
          </w:r>
        </w:p>
      </w:tc>
    </w:tr>
  </w:tbl>
  <w:p>
    <w:pPr>
      <w:rPr>
        <w:rFonts w:ascii="Verdana" w:eastAsia="Verdana" w:hAnsi="Verdana" w:cs="Verdana"/>
        <w:b w:val="0"/>
        <w:sz w:val="18"/>
      </w:rPr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endnotePr>
    <w:numFmt w:val="decimal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jc w:val="left"/>
    </w:pPr>
    <w:rPr>
      <w:rFonts w:ascii="Verdana" w:eastAsia="Verdana" w:hAnsi="Verdana" w:cs="Verdana"/>
      <w:sz w:val="24"/>
      <w:szCs w:val="24"/>
      <w:lang w:val="pl-PL" w:eastAsia="pl-PL" w:bidi="pl-PL"/>
    </w:rPr>
  </w:style>
  <w:style w:type="character" w:default="1" w:styleId="DefaultParagraphFont">
    <w:name w:val="Default Paragraph Font"/>
    <w:semiHidden/>
    <w:rPr>
      <w:lang w:val="pl-PL" w:eastAsia="pl-PL" w:bidi="pl-PL"/>
    </w:rPr>
  </w:style>
  <w:style w:type="table" w:default="1" w:styleId="TableNormal">
    <w:name w:val="Normal Table"/>
    <w:semiHidden/>
    <w:rPr>
      <w:lang w:val="pl-PL" w:eastAsia="pl-PL" w:bidi="pl-PL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Rada Gminy Komorniki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Uchwała nr  XXX/299/2026 z dnia 26 stycznia 2026 r.</dc:title>
  <dc:subject>w sprawie realizacji Programu „Asystent Osobisty Osoby z^Niepełnosprawnością” – edycja 2026</dc:subject>
  <dc:creator>sekretariat</dc:creator>
  <cp:lastModifiedBy>sekretariat</cp:lastModifiedBy>
  <cp:revision>1</cp:revision>
  <dcterms:created xsi:type="dcterms:W3CDTF">2026-01-30T14:05:35Z</dcterms:created>
  <dcterms:modified xsi:type="dcterms:W3CDTF">2026-01-30T14:05:35Z</dcterms:modified>
  <cp:category>Akt prawny</cp:category>
</cp:coreProperties>
</file>