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XL/382/2026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sprawie: przejęcia prawa własności w drodze darowizny nieruchomości położonej w Komornikach, działek o nr ewid. 729/2, 729/4, 729/6 obręb Komorniki, gmina Komorniki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lit. a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2a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sierpnia 1997r.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gospodarce nieruchomościami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399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zm.), Rada Gminy Komorniki uchwala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Wyraża się zgodę na przejęcie od Skarbu Państwa na rzecz Gminy Komorniki darowizny prawa własności nieruchomości oznaczonej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ewidencji gruntów jako obręb Komorniki, działek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nr ewid.: 729/2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pow. 0.0037 ha, 729/4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pow. 0.0055 ha, 729/6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pow. 0.0145 ha, zapisanych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księdze wieczystej PO2P/00086685/2.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Nieruchomość opisana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§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będzie darowana Gminie Komorniki na cel związany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wykonywaniem zadań własnych gminy tj. gminnych dróg, ulic, organizacji ruchu drogowego oraz cmentarzy gminnych.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</w:t>
      </w:r>
      <w:r>
        <w:rPr>
          <w:rFonts w:eastAsia="Times New Roman" w:cs="Times New Roman"/>
          <w:b/>
          <w:szCs w:val="20"/>
        </w:rPr>
        <w:t>/382</w:t>
      </w:r>
      <w:r>
        <w:rPr>
          <w:rFonts w:eastAsia="Times New Roman" w:cs="Times New Roman"/>
          <w:b/>
          <w:szCs w:val="20"/>
        </w:rPr>
        <w:t xml:space="preserve">/2026                      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Nieruchomość położona w obrębie Komorniki, oznaczone geodezyjnie jako działki nr: 729/2, 729/4, 729/6 stanowi własność Skarbu Państwa.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Powyższe działki stanową przebieg pasa drogi wokół cmentarza w Komornikach – ulicy Cmentarnej i tym samym, powinny stanowić własność Gminy Komorniki.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Niniejsze przedsięwzięcie ma na celu rozwój infrastruktury drogowej oraz podniesienie poziomu bezpieczeństwa uczestników ruchu drogowego i pieszego w ww. miejscowości.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związku z powyższym podjęcie niniejszej uchwały jest uzasadnione.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49CFE26D-43FB-4DF0-90B0-3302A946CAC1.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49CFE26D-43FB-4DF0-90B0-3302A946CAC1.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XL/382/2026 z dnia 28 września 2026 r.</dc:title>
  <dc:subject>w sprawie: przejęcia prawa własności w^drodze darowizny nieruchomości położonej w^Komornikach, działek o^nr ewid. 729/2, 729/4, 729/6 obręb Komorniki, gmina Komorniki</dc:subject>
  <dc:creator>rada.gminy</dc:creator>
  <cp:lastModifiedBy>rada.gminy</cp:lastModifiedBy>
  <cp:revision>1</cp:revision>
  <dcterms:created xsi:type="dcterms:W3CDTF">2026-10-02T09:47:27Z</dcterms:created>
  <dcterms:modified xsi:type="dcterms:W3CDTF">2026-10-02T09:47:27Z</dcterms:modified>
  <cp:category>Akt prawny</cp:category>
</cp:coreProperties>
</file>