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XL/378/2026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 określenia wysokości stawek podatku od nieruchomości na terenie Gminy Komorniki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(tj. Dz.U.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r.,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ze zm.) oraz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12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stycznia 1991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podatkach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opłatach lokalnych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r.,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707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ze zm.)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Określa się następujące wysokości stawek podatku od nieruchomości: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sz w:val="24"/>
        </w:rPr>
        <w:t>1)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od gruntów: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sz w:val="24"/>
        </w:rPr>
        <w:t>a)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związanych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prowadzeniem działalności gospodarczej, bez względu na sposób zakwalifikowania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ewidencji gruntów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budynków – 1,31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zł od 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m2 powierzchni;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sz w:val="24"/>
        </w:rPr>
        <w:t>b)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pod wodami powierzchniowymi stojącymi lub wodami powierzchniowymi płynącymi jezior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zbiorników sztucznych – 6,82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zł od 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ha powierzchni;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sz w:val="24"/>
        </w:rPr>
        <w:t>c)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pozostałych,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tym zajętych na prowadzenie odpłatnej statutowej działalności pożytku publicznego przez organizacje pożytku publicznego - 0,68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zł od 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m2 powierzchni;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sz w:val="24"/>
        </w:rPr>
        <w:t>d)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niezabudowanych objętych obszarem rewitalizacji,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którym mowa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ustawie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9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października 2015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rewitalizacji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2024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r.,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278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ze zm.),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położonych na terenach, dla których miejscowy plan zagospodarowania przestrzennego przewiduje przeznaczenie pod zabudowę mieszkaniową, usługową albo zabudowę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przeznaczeniu mieszanym obejmującym wyłącznie te rodzaje zabudowy, jeżeli od dnia wejścia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życie tego planu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odniesieniu do tych gruntów upłynął okres 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lat, a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 tym czasie nie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zakończono budowy zgodnie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przepisami prawa budowlanego – 2,28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zł od 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m2 powierzchni;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sz w:val="24"/>
        </w:rPr>
        <w:t>2)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od budynków lub ich części: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sz w:val="24"/>
        </w:rPr>
        <w:t>a)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mieszkalnych - 1,13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zł od 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m2 powierzchni użytkowej;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sz w:val="24"/>
        </w:rPr>
        <w:t>b)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związanych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prowadzeniem działalności gospodarczej oraz od budynków mieszkalnych lub ich części zajętych na prowadzenie działalności gospodarczej -32,96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zł od 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m2 powierzchni użytkowej;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sz w:val="24"/>
        </w:rPr>
        <w:t>c)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zajętych na prowadzenie działalności gospodarczej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zakresie obrotu kwalifikowanym materiałem siewnym - 13,63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zł od 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m2 powierzchni użytkowej;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sz w:val="24"/>
        </w:rPr>
        <w:t>d)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związanych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udzielaniem świadczeń zdrowotnych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rozumieniu przepisów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działalności leczniczej, zajętych przez podmioty udzielające tych świadczeń – 4,54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zł od 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m2 powierzchni użytkowej;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sz w:val="24"/>
        </w:rPr>
        <w:t>e)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pozostałych,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tym zajętych na prowadzenie odpłatnej statutowej działalności pożytku publicznego przez organizację pożytku publicznego – 7,95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zł od 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m2 powierzchni użytkowej;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sz w:val="24"/>
        </w:rPr>
        <w:t>3)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od budowli 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% od ich wartości określonej 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 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3-7 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12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stycznia 1991r.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podatkach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opłatach lokalnych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2025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r.,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707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ze zm.).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Wykonanie uchwały powierza się Wójtowi Gminy Komorniki.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Traci moc Uchwała nr XXVIII/263/2025 Rady Gminy Komorniki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listopada 2025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sprawie określenia wysokości stawek podatku od nieruchomości na terenie Gminy Komorniki.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4.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Uchwała podlega ogłoszeniu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Dzienniku Urzędowym Województwa Wielkopolskiego.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5.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dniem 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stycznia 2027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aps/>
          <w:szCs w:val="20"/>
        </w:rPr>
        <w:t>Do UCHWAŁY nR xl/</w:t>
      </w:r>
      <w:r>
        <w:rPr>
          <w:rFonts w:eastAsia="Times New Roman" w:cs="Times New Roman"/>
          <w:b/>
          <w:caps/>
          <w:szCs w:val="20"/>
        </w:rPr>
        <w:t>378</w:t>
      </w:r>
      <w:r>
        <w:rPr>
          <w:rFonts w:eastAsia="Times New Roman" w:cs="Times New Roman"/>
          <w:b/>
          <w:caps/>
          <w:szCs w:val="20"/>
        </w:rPr>
        <w:t>/2026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aps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dnia 28 września 2026 </w:t>
      </w:r>
      <w:r>
        <w:rPr>
          <w:rFonts w:eastAsia="Times New Roman" w:cs="Times New Roman"/>
          <w:color w:val="000000"/>
          <w:szCs w:val="20"/>
          <w:u w:color="000000"/>
        </w:rPr>
        <w:t>r</w:t>
      </w:r>
      <w:r>
        <w:rPr>
          <w:rFonts w:eastAsia="Times New Roman" w:cs="Times New Roman"/>
          <w:color w:val="000000"/>
          <w:szCs w:val="20"/>
          <w:u w:color="000000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Do wyłącznej właściwości rady gminy należy podejmowanie uchwał w sprawie podatków w granicach określonych na podstawie art. 18 ust. 2 pkt 8 ustawy o samorządzie gminnym w odrębnych ustawach.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uchwale określającej wysokość stawek podatku od nieruchomości na terenie Gminy Komorniki począwszy od 1 stycznia 2027r., postanowiono podnieść stawki podatku z uwagi na wzrost inflacji oraz różnice między stawkami aktualnie obowiązującymi, a stawkami ogłoszonymi przez Ministra Finansów i Gospodarki w Obwieszczeniu z dnia 23 lipca 2026 r. w sprawie górnych granic stawek kwotowych podatków i opłat lokalnych za rok 2027 (M.P. 2026 r., poz. 741).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Zaproponowane stawki nie przekraczają granic stawek podatkowych, wykazanych w Obwieszczeniu Ministra Finansów i Gospodarki z dnia 23 lipca 2026 r. w sprawie górnych granic stawek kwotowych podatków i opłat lokalnych na rok 2027.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Maksymalne stawki podatkowe na 2027 r. kształtują się następująco: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1) od gruntów: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a) związanych z prowadzeniem działalności gospodarczej, bez względu na sposób zakwalifikowania w ewidencji gruntów i budynków – 1,49 zł od 1 m2 powierzchni;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b) pod wodami powierzchniowymi stojącymi lub wodami powierzchniowymi płynącymi jezior i zbiorników sztucznych – 7,35 zł od 1 ha powierzchni;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c) pozostałych, w tym zajętych na prowadzenie odpłatnej statutowej działalności pożytku publicznego przez organizacje pożytku publicznego - 0,80 zł od 1 m2 powierzchni;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d) niezabudowanych objętych obszarem rewitalizacji, o którym mowa w ustawie z dnia 9 października 2015 r. o rewitalizacji (tj. Dz. U. 2024 r., poz. 278 ze zm.), i położonych na terenach, dla których miejscowy plan zagospodarowania przestrzennego przewiduje przeznaczenie pod zabudowę mieszkaniową, usługową albo zabudowę o przeznaczeniu mieszanym obejmującym wyłącznie te rodzaje zabudowy, jeżeli od dnia wejścia w życie tego planu w odniesieniu do tych gruntów upłynął okres 4 lat, a w tym czasie nie zakończono budowy zgodnie z przepisami prawa budowlanego –</w:t>
      </w:r>
      <w:r>
        <w:rPr>
          <w:rFonts w:eastAsia="Times New Roman" w:cs="Times New Roman"/>
          <w:color w:val="000000"/>
          <w:szCs w:val="20"/>
          <w:u w:color="000000"/>
        </w:rPr>
        <w:t xml:space="preserve"> 4,85</w:t>
      </w:r>
      <w:r>
        <w:rPr>
          <w:rFonts w:eastAsia="Times New Roman" w:cs="Times New Roman"/>
          <w:color w:val="000000"/>
          <w:szCs w:val="20"/>
          <w:u w:color="000000"/>
        </w:rPr>
        <w:t> zł od 1 m2 powierzchni;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2) od budynków lub ich części: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a) mieszkalnych - 1,29 zł od 1 m2 powierzchni użytkowej;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b) związanych z prowadzeniem działalności gospodarczej oraz od budynków mieszkalnych lub ich części zajętych na prowadzenie działalności gospodarczej -36,49 zł od 1 m2 powierzchni użytkowej;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c) zajętych na prowadzenie działalności gospodarczej w zakresie obrotu kwalifikowanym materiałem siewnym – 17,09 zł od 1 m2 powierzchni użytkowej;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d) związanych z udzielaniem świadczeń zdrowotnych w rozumieniu przepisów o działalności leczniczej, zajętych przez podmioty udzielające tych świadczeń – 7,47 zł od 1 m2 powierzchni użytkowej;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e) pozostałych, w tym zajętych na prowadzenie odpłatnej statutowej działalności pożytku publicznego przez organizację pożytku publicznego – 12,33 zł od 1 m2 powierzchni użytkowej;</w:t>
      </w:r>
    </w:p>
    <w:p>
      <w:pPr>
        <w:keepNext/>
        <w:keepLines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Stawka procentowa od budowli wynosi 2 % od ich wartości określonej na podstawie art. 4 ust 1 pkt 3 i ust. 3-7 ustawy z dnia 12 stycznia 1991r. o podatkach i opłatach lokalnych (tj. Dz. U. 2025 r., poz. 707 ze zm.).</w:t>
      </w:r>
    </w:p>
    <w:p>
      <w:pPr>
        <w:keepNext/>
        <w:keepLines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Podjęcie niniejszej uchwały jest zatem uzasadnione.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</w:rPr>
        <w:t> </w:t>
      </w:r>
    </w:p>
    <w:tbl>
      <w:tblPr>
        <w:tblStyle w:val="TableNormal"/>
        <w:tblW w:w="5000" w:type="pc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38"/>
        <w:gridCol w:w="6028"/>
      </w:tblGrid>
      <w:tr>
        <w:tblPrEx>
          <w:tblW w:w="5000" w:type="pct"/>
          <w:tblLayout w:type="fixed"/>
        </w:tblPrEx>
        <w:tc>
          <w:tcPr>
            <w:tcW w:w="384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Cs w:val="20"/>
              </w:rPr>
            </w:pPr>
          </w:p>
        </w:tc>
        <w:tc>
          <w:tcPr>
            <w:tcW w:w="603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widowControl/>
              <w:suppressLineNumbers w:val="0"/>
              <w:shd w:val="clear" w:color="auto" w:fill="auto"/>
              <w:suppressAutoHyphens w:val="0"/>
              <w:spacing w:before="560" w:beforeAutospacing="0" w:after="560" w:afterAutospacing="0" w:line="240" w:lineRule="auto"/>
              <w:ind w:left="1134" w:right="1134" w:firstLine="0"/>
              <w:contextualSpacing w:val="0"/>
              <w:jc w:val="center"/>
              <w:rPr>
                <w:rFonts w:eastAsia="Times New Roman" w:cs="Times New Roman"/>
                <w:b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</w:rPr>
              <w:instrText>MERGEFIELD SIGNATURE_0_0__FUNCTION \* MERGEFORMAT</w:instrTex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</w:rPr>
              <w:br/>
              <w:br/>
              <w:br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instrText>MERGEFIELD SIGNATURE_0_0_FIRSTNAME \* MERGEFORMAT</w:instrTex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Tomasz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instrText>MERGEFIELD SIGNATURE_0_0_LASTNAME \* MERGEFORMAT</w:instrTex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Stellmaszyk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 </w:t>
            </w:r>
          </w:p>
        </w:tc>
      </w:tr>
    </w:tbl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00274197-EB58-49F9-889F-24B09228F4B6.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00274197-EB58-49F9-889F-24B09228F4B6.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XL/378/2026 z dnia 28 września 2026 r.</dc:title>
  <dc:subject>w sprawie określenia wysokości stawek podatku od nieruchomości na terenie Gminy Komorniki</dc:subject>
  <dc:creator>rada.gminy</dc:creator>
  <cp:lastModifiedBy>rada.gminy</cp:lastModifiedBy>
  <cp:revision>1</cp:revision>
  <dcterms:created xsi:type="dcterms:W3CDTF">2026-10-02T09:41:41Z</dcterms:created>
  <dcterms:modified xsi:type="dcterms:W3CDTF">2026-10-02T09:41:41Z</dcterms:modified>
  <cp:category>Akt prawny</cp:category>
</cp:coreProperties>
</file>