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XXXVIII/373/2026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ustalenia wynagrodzenia miesięcznego Wójta Gminy Komorniki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ust.2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c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listopada 2008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pracownikach samorządowych (tj. Dz. U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 2024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1135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zm.), § 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Rozporządzenia Rady Ministrów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października 2021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sprawie wynagradzania pracowników samorządowych (tj. Dz.U.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1638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Ustala się miesięczne wynagrodzenie brutto Wójta Gminy Komorniki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wysokości: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wynagrodzenie zasadnicze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11.280,00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zł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dodatek funkcyjny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3.760,00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zł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dodatek specjalny 30%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4.512,00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zł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Verdana" w:eastAsia="Verdana" w:hAnsi="Verdana" w:cs="Verdana"/>
          <w:b/>
          <w:i w:val="0"/>
          <w:caps w:val="0"/>
          <w:strike w:val="0"/>
          <w:color w:val="auto"/>
          <w:sz w:val="24"/>
          <w:u w:val="none"/>
          <w:vertAlign w:val="baseline"/>
        </w:rPr>
        <w:t>Razem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 19.552,00 zł brutto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Słownie: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/ dziewiętnaście tysięcy pięćset pięćdziesiąt dwa złote 00/100/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dodatek stażowy 20% wynagrodzenia zasadniczego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2.256,00 zł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Traci moc uchwała Nr IV/33/2024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dnia 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czerwca 2024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w sprawie ustalenia wynagrodzenia miesięcznego Wójta Gminy Komorniki.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Przewodniczącemu Rady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 zastosowanie od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lipca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 XXXVIII</w:t>
      </w:r>
      <w:r>
        <w:rPr>
          <w:rFonts w:eastAsia="Times New Roman" w:cs="Times New Roman"/>
          <w:b/>
          <w:szCs w:val="20"/>
        </w:rPr>
        <w:t>/373</w:t>
      </w:r>
      <w:r>
        <w:rPr>
          <w:rFonts w:eastAsia="Times New Roman" w:cs="Times New Roman"/>
          <w:b/>
          <w:szCs w:val="20"/>
        </w:rPr>
        <w:t xml:space="preserve">/2026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 xml:space="preserve">RADY GMINY KOMORNIKI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8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Art. 18 ust. 2 pkt 2 ustawy o samorządzie gminnym wskazuje kompetencję rady gminy do ustalania wynagrodzenia wójta. Zgodnie z zapisem art.37 ust 3 ustawy z dnia 21 listopada 2008 r. o pracownikach samorządowych (tj. Dz.U z 2024 r. poz. 1135 ze zm.). Maksymalne wynagrodzenie osób, o których mowa w art. 4 ust. 1 pkt 1, nie może przekroczyć w okresie miesiąca 11,2 krotności kwoty bazowej określonej w ustawie budżetowej dla osób zajmujących kierownicze stanowiska państwowe na podstawie przepisów ustawy z dnia 23 grudnia 1999 r. o kształtowaniu wynagrodzeń w państwowej sferze budżetowej oraz o zmianie niektórych ustaw. Obecnie kwota bazowa wynosi 1.935,26 zł natomiast 11,2 krotność tej kwoty to 21.674,91 zł  </w:t>
      </w:r>
      <w:r>
        <w:rPr>
          <w:rFonts w:eastAsia="Times New Roman" w:cs="Times New Roman"/>
          <w:color w:val="000000"/>
          <w:szCs w:val="20"/>
        </w:rPr>
        <w:t>(nie wliczając dodatku stażowego).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8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 Jednak wynagrodzenie nie może być niższe niż 80% maksymalnego wynagrodzenia czyli nie niższe niż 17.339,92 zł, wobec powyższego Rada Gminy Komorniki ustala wynagrodzenie Wójta na poziomie zgodnym z przepisami prawa wymienionymi wyżej.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8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Podjęcie niniejszej uchwały uzasadnione jest literalnym brzmieniem § 6 Rozporządzenia Rady Ministrów w sprawie wynagradzania pracowników samorządowych z dnia 25 października 2021 r. (tj. Dz.U. z 2024 r. poz. 1638), zgodnie z którym dodatek specjalny dla osób, o których mowa w </w:t>
      </w:r>
      <w:hyperlink r:id="rId5" w:history="1">
        <w:r>
          <w:rPr>
            <w:rFonts w:eastAsia="Times New Roman" w:cs="Times New Roman"/>
            <w:szCs w:val="20"/>
          </w:rPr>
          <w:t>art. 36 ust. 3</w:t>
        </w:r>
      </w:hyperlink>
      <w:r>
        <w:rPr>
          <w:rFonts w:eastAsia="Times New Roman" w:cs="Times New Roman"/>
          <w:szCs w:val="20"/>
        </w:rPr>
        <w:t> ustawy o pracownikach samorządowych, przysługuje w kwocie wynoszącej 30% łącznie wynagrodzenia zasadniczego i dodatku funkcyjnego.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8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W tych okolicznościach, podjęcie uchwały jest uzasadnione.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Przewodniczący Rady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Marek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Kubiak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6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06C42AF9-7BB9-4BDA-B4C7-EC1BED8C28D8.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06C42AF9-7BB9-4BDA-B4C7-EC1BED8C28D8.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sip-1legalis-1pl-1015defxb158f.han.amu.edu.pl/document-view.seam?documentId=mfrxilrtg4ytgobxhe4daltqmfyc4nbzg42temjxgu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XXXVIII/373/2026 z dnia 29 czerwca 2026 r.</dc:title>
  <dc:subject>w sprawie ustalenia wynagrodzenia miesięcznego Wójta Gminy Komorniki</dc:subject>
  <dc:creator>rada.gminy</dc:creator>
  <cp:lastModifiedBy>rada.gminy</cp:lastModifiedBy>
  <cp:revision>1</cp:revision>
  <dcterms:created xsi:type="dcterms:W3CDTF">2026-07-02T13:34:42Z</dcterms:created>
  <dcterms:modified xsi:type="dcterms:W3CDTF">2026-07-02T13:34:42Z</dcterms:modified>
  <cp:category>Akt prawny</cp:category>
</cp:coreProperties>
</file>