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XXXVII/349/2026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15 czerwca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zatwierdzenia sprawozdania finansowego wraz ze sprawozdaniem z wykonania budżetu gminy za 2025 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662)  oraz 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270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finansach publicznych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1483 ze zm.)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Zatwierdza się sprawozdanie finansowe wraz ze sprawozdaniem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wykonania budżetu Gminy Komorniki za 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UCHWAŁY NR 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XXxvII/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349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15 czerwca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przepisami organ stanowiący jednostki samorządu terytorialnego rozpatruje i zatwierdza sprawozdanie finansowe jednostki samorządu terytorialnego wraz ze sprawozdaniem z wykonania budżetu.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z powyższym podjęcie niniejszej uchwały jest zasadne.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Przewodniczący Rady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Marek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Kubiak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1982C69A-F3CC-4986-B0A5-7F13B764693B.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1982C69A-F3CC-4986-B0A5-7F13B764693B.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XXXVII/349/2026 z dnia 15 czerwca 2026 r.</dc:title>
  <dc:subject>w sprawie zatwierdzenia sprawozdania finansowego wraz ze sprawozdaniem z^wykonania budżetu gminy za 2025^rok</dc:subject>
  <dc:creator>rada.gminy</dc:creator>
  <cp:lastModifiedBy>rada.gminy</cp:lastModifiedBy>
  <cp:revision>1</cp:revision>
  <dcterms:created xsi:type="dcterms:W3CDTF">2026-06-16T08:08:32Z</dcterms:created>
  <dcterms:modified xsi:type="dcterms:W3CDTF">2026-06-16T08:08:32Z</dcterms:modified>
  <cp:category>Akt prawny</cp:category>
</cp:coreProperties>
</file>