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76" w:lineRule="auto"/>
        <w:ind w:left="0"/>
        <w:jc w:val="center"/>
        <w:rPr>
          <w:rFonts w:ascii="Verdana" w:eastAsia="Verdana" w:hAnsi="Verdana" w:cs="Verdana"/>
          <w:b/>
          <w:caps/>
          <w:sz w:val="24"/>
        </w:rPr>
      </w:pPr>
      <w:r>
        <w:rPr>
          <w:rFonts w:ascii="Verdana" w:eastAsia="Verdana" w:hAnsi="Verdana" w:cs="Verdana"/>
          <w:b/>
          <w:caps/>
          <w:sz w:val="24"/>
        </w:rPr>
        <w:t>Uchwała</w:t>
      </w:r>
      <w:r>
        <w:rPr>
          <w:rFonts w:ascii="Verdana" w:eastAsia="Verdana" w:hAnsi="Verdana" w:cs="Verdana"/>
          <w:b/>
          <w:caps/>
          <w:sz w:val="24"/>
        </w:rPr>
        <w:t xml:space="preserve"> nr XXXV/347/2026</w:t>
      </w:r>
      <w:r>
        <w:rPr>
          <w:rFonts w:ascii="Verdana" w:eastAsia="Verdana" w:hAnsi="Verdana" w:cs="Verdana"/>
          <w:b/>
          <w:caps/>
          <w:sz w:val="24"/>
        </w:rPr>
        <w:br/>
      </w:r>
      <w:r>
        <w:rPr>
          <w:rFonts w:ascii="Verdana" w:eastAsia="Verdana" w:hAnsi="Verdana" w:cs="Verdana"/>
          <w:b/>
          <w:caps/>
          <w:sz w:val="24"/>
        </w:rPr>
        <w:t>Rady Gminy Komorniki</w:t>
      </w:r>
    </w:p>
    <w:p w:rsidR="00A77B3E">
      <w:pPr>
        <w:spacing w:before="280" w:after="280" w:line="276" w:lineRule="auto"/>
        <w:ind w:left="0"/>
        <w:jc w:val="center"/>
        <w:rPr>
          <w:rFonts w:ascii="Verdana" w:eastAsia="Verdana" w:hAnsi="Verdana" w:cs="Verdana"/>
          <w:b/>
          <w:caps/>
          <w:sz w:val="24"/>
        </w:rPr>
      </w:pPr>
      <w:r>
        <w:rPr>
          <w:rFonts w:ascii="Verdana" w:eastAsia="Verdana" w:hAnsi="Verdana" w:cs="Verdana"/>
          <w:b w:val="0"/>
          <w:caps w:val="0"/>
          <w:sz w:val="24"/>
        </w:rPr>
        <w:t>z dnia 18 maja 2026 r.</w:t>
      </w:r>
    </w:p>
    <w:p w:rsidR="00A77B3E">
      <w:pPr>
        <w:keepNext/>
        <w:spacing w:before="0" w:after="480" w:line="276" w:lineRule="auto"/>
        <w:ind w:left="0" w:right="0" w:firstLine="0"/>
        <w:jc w:val="center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caps w:val="0"/>
          <w:sz w:val="24"/>
        </w:rPr>
        <w:t>w sprawie rozpatrzenia skargi osoby prawnej: Szulc-Euphenics.com p. S.A. z siedzibą w Warszawie</w:t>
      </w:r>
    </w:p>
    <w:p w:rsidR="00A77B3E">
      <w:pPr>
        <w:keepNext w:val="0"/>
        <w:keepLines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15, art.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b ust.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1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samorządzie gminnym (t.j. Dz.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r. poz.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1153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ze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zm.) oraz art.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223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§ 1, art.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229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3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dnia 14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czerwca 1960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r. Kodeks postępowania administracyjnego (t.j. Dz.U.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r. poz.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1691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ze zm.), Rada Gminy Komorniki uchwala, co następuje: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1.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Stwierdza się, że skarga osoby prawnej: Szulc-Euphenics.com p. S.A, która wpłynęła w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dniu 5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maja 2026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r. do Rady Gminy Komorniki jest bezzasadna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przyczyn wskazanych w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uzasadnieniu.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2.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Treść niniejszej uchwały należy przekazać wnoszącemu skargę.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3.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Wykonanie uchwały powierza się Przewodniczącemu Rady Gminy Komorniki.</w:t>
      </w:r>
    </w:p>
    <w:p w:rsidR="00A77B3E">
      <w:pPr>
        <w:keepNext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4.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Uchwała wchodzi w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życie w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dniem podjęcia.</w:t>
      </w:r>
    </w:p>
    <w:p w:rsidR="00A77B3E">
      <w:pPr>
        <w:keepNext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Gminy Komorniki</w:t>
            </w: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Marek Kubiak</w:t>
            </w:r>
          </w:p>
        </w:tc>
      </w:tr>
    </w:tbl>
    <w:p w:rsidR="00A77B3E">
      <w:pPr>
        <w:keepNext/>
        <w:spacing w:before="0" w:after="0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Fonts w:eastAsia="Times New Roman" w:cs="Times New Roman"/>
          <w:sz w:val="22"/>
          <w:szCs w:val="20"/>
        </w:rPr>
      </w:pPr>
      <w:r>
        <w:rPr>
          <w:rFonts w:eastAsia="Times New Roman" w:cs="Times New Roman"/>
          <w:b/>
          <w:sz w:val="22"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0"/>
        <w:contextualSpacing w:val="0"/>
        <w:jc w:val="center"/>
        <w:rPr>
          <w:rFonts w:eastAsia="Times New Roman" w:cs="Times New Roman"/>
          <w:b/>
          <w:color w:val="000000"/>
          <w:szCs w:val="20"/>
          <w:u w:color="000000"/>
        </w:rPr>
      </w:pPr>
      <w:r>
        <w:rPr>
          <w:rFonts w:eastAsia="Times New Roman" w:cs="Times New Roman"/>
          <w:b/>
          <w:szCs w:val="20"/>
        </w:rPr>
        <w:t>DO UCHWAŁY NR XXXV/347/2026</w:t>
        <w:br/>
      </w:r>
      <w:r>
        <w:rPr>
          <w:rFonts w:eastAsia="Times New Roman" w:cs="Times New Roman"/>
          <w:b/>
          <w:szCs w:val="20"/>
        </w:rPr>
        <w:t>RADY GMINY KOMORNIKI</w:t>
      </w:r>
      <w:r>
        <w:rPr>
          <w:rFonts w:eastAsia="Times New Roman" w:cs="Times New Roman"/>
          <w:b/>
          <w:color w:val="000000"/>
          <w:szCs w:val="20"/>
          <w:u w:color="000000"/>
        </w:rPr>
        <w:br/>
      </w:r>
      <w:r>
        <w:rPr>
          <w:rFonts w:eastAsia="Times New Roman" w:cs="Times New Roman"/>
          <w:color w:val="000000"/>
          <w:szCs w:val="20"/>
          <w:u w:color="000000"/>
        </w:rPr>
        <w:t>z dnia 18 maja 2026 r.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W dniu 11 maja 2026 r. wpłynęła do Rady Gminy Komorniki skarga firmy Szulc-Euphenics.com p. S.A z siedzibą w Warszawie w zakresie sprawowania nadzoru nad obszarem cyberbezpieczeństwa.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Zgodnie z art. 229 pkt 3 Kodeksu postępowania administracyjnego, skargi na działalność wójta oraz kierowników jednostek organizacyjnych gminy rozpatruje rada gminy. W związku z tym Przewodniczący Rady Gminy, działając na podstawie art. 18b ust. 1 ustawy o samorządzie gminnym § 92c Statutu Gminy Komorniki, przekazał skargę Komisji Skarg, Wniosków i Petycji celem przeprowadzenia postępowania wyjaśniającego i przygotowania opinii. Posiedzenie Komisji odbyło się 13 maja 2026 roku.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Skarżący zarzucił w skardze brak odpowiednich działań w zakresie zapewnienia właściwego poziomu cyberbezpieczeństwa w Urzędzie Gminy, niewystarczający nadzór nad analizowaniem przypadków cyberataków w innych jednostkach samorządowych oraz niewłaściwe, jego zdaniem, wykorzystanie środków publicznych przeznaczonych na działania w tym obszarze.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Komisja Skarg, Wniosków i Petycji po zapoznaniu się z treścią skargi stwierdziła, że skarga nie zawiera konkretnych zarzutów, które można byłoby zweryfikować w toku postępowania wyjaśniającego. Podniesione w skardze twierdzenia mają charakter ogólny, abstrakcyjny oraz oceniający, a ich treść sprowadza się do subiektywnej krytyki przyjętych przez jednostki organizacyjne rozwiązań organizacyjnych i technicznych w zakresie prowadzenia stron internetowych, Biuletynu Informacji Publicznej oraz usług informatycznych.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Ponadto skarżący nie wskazał konkretnych czynności lub zaniechań Wójta Gminy Komorniki, konkretnych naruszeń przepisów prawa oraz okoliczności faktycznych pozwalających na weryfikację stawianych zarzutów.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Obowiązujące przepisy prawa nie nakładają na jednostki samorządu terytorialnego obowiązku korzystania z określonych, wskazanych przez skarżącego rozwiązań teleinformatycznych, w tym rozwiązań oferowanych przez administrację rządową. Wybór sposobu realizacji zadań własnych, w tym w zakresie obsługi systemów informatycznych i BIP, mieści się w granicach autonomii organizacyjnej jednostek sektora finansów publicznych i podlega ocenie wyłącznie w kryteriach legalności, gospodarności i celowości, nie zaś preferencji podmiotów zewnętrznych.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Samo twierdzenie o rzekomym naruszeniu „zasad cyberbezpieczeństwa” lub „rażącym naruszeniu przepisów” nie może stanowić podstawy do uznania zasadności skargi, jeżeli nie zostało poparte jakimikolwiek konkretnymi dowodami, opisem zdarzeń lub wskazaniem naruszonych norm prawnych w sposób umożliwiający ich subsumcję. Taka sytuacja ma miejsce w niniejszej sprawie. Brak jakichkolwiek dowodów uzasadniających zasadność skargi. W związku z tym Komisja uznała, że brak jest podstaw do podejmowania dodatkowych czynności dowodowych i że należy uznać skargę za bezzasadną.</w:t>
      </w:r>
    </w:p>
    <w:p>
      <w:pPr>
        <w:keepNext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Rada Gminy Komorniki, po zapoznaniu się z ustaleniami Komisji, w pełni podzieliła jej stanowisko i uznaje przedmiotową skargę za bezzasadną.</w:t>
      </w:r>
    </w:p>
    <w:p>
      <w:pPr>
        <w:keepNext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  </w:t>
      </w:r>
    </w:p>
    <w:tbl>
      <w:tblPr>
        <w:tblStyle w:val="TableNormal"/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Layout w:type="fixed"/>
        </w:tblPrEx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widowControl/>
              <w:suppressLineNumbers w:val="0"/>
              <w:shd w:val="clear" w:color="auto" w:fill="auto"/>
              <w:suppressAutoHyphens w:val="0"/>
              <w:spacing w:before="560" w:beforeAutospacing="0" w:after="560" w:afterAutospacing="0" w:line="240" w:lineRule="auto"/>
              <w:ind w:left="1134" w:right="1134" w:firstLine="0"/>
              <w:contextualSpacing w:val="0"/>
              <w:jc w:val="center"/>
              <w:rPr>
                <w:rFonts w:eastAsia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fldChar w:fldCharType="begin"/>
            </w:r>
            <w:r>
              <w:rPr>
                <w:rFonts w:eastAsia="Times New Roman" w:cs="Times New Roman"/>
                <w:color w:val="000000"/>
                <w:szCs w:val="20"/>
              </w:rPr>
              <w:instrText>MERGEFIELD SIGNATURE_0_0__FUNCTION \* MERGEFORMAT</w:instrText>
            </w:r>
            <w:r>
              <w:rPr>
                <w:rFonts w:eastAsia="Times New Roman" w:cs="Times New Roman"/>
                <w:color w:val="000000"/>
                <w:szCs w:val="20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0"/>
              </w:rPr>
              <w:t>Przewodniczący Rady Gminy Komorniki</w:t>
            </w:r>
            <w:r>
              <w:rPr>
                <w:rFonts w:eastAsia="Times New Roman" w:cs="Times New Roman"/>
                <w:color w:val="000000"/>
                <w:szCs w:val="20"/>
              </w:rPr>
              <w:fldChar w:fldCharType="end"/>
            </w:r>
            <w:r>
              <w:rPr>
                <w:rFonts w:eastAsia="Times New Roman" w:cs="Times New Roman"/>
                <w:color w:val="000000"/>
                <w:szCs w:val="20"/>
              </w:rPr>
              <w:br/>
              <w:br/>
              <w:br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begin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instrText>MERGEFIELD SIGNATURE_0_0_FIRSTNAME \* MERGEFORMAT</w:instrTex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separate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t>Marek</w: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end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t> </w: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begin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instrText>MERGEFIELD SIGNATURE_0_0_LASTNAME \* MERGEFORMAT</w:instrTex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separate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t>Kubiak</w: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end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val="single" w:color="00000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val="single" w:color="00000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val="single" w:color="00000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val="single" w:color="00000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val="single" w:color="00000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val="single" w:color="00000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val="single" w:color="000000"/>
        </w:rPr>
        <w:t>Pouczenie</w:t>
      </w:r>
      <w:r>
        <w:rPr>
          <w:rFonts w:eastAsia="Times New Roman" w:cs="Times New Roman"/>
          <w:color w:val="000000"/>
          <w:szCs w:val="20"/>
          <w:u w:color="000000"/>
        </w:rPr>
        <w:t>: Zgodnie z art. 239 § 1 ustawy z dnia 14 czerwca 1960 r. Kodeks Postępowania administracyjnego w przypadku, gdy skarga, w wyniku jej rozpatrzenia, został uznana za bezzasadną i jej bezzasadność wykazano w odpowiedzi na skargę, a skarżący ponowił skargę bez wskazania nowych okoliczności – organ właściwy do jej rozpatrzenia może podtrzymać swoje poprzednie stanowisko z odpowiednia adnotacją w aktach sprawy – bez zawiadamiania skarżącego.</w:t>
      </w:r>
    </w:p>
    <w:sectPr>
      <w:footerReference w:type="default" r:id="rId5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68DA3608-714E-401E-985D-9CE803EFFF2F.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68DA3608-714E-401E-985D-9CE803EFFF2F.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left"/>
    </w:pPr>
    <w:rPr>
      <w:rFonts w:ascii="Verdana" w:eastAsia="Verdana" w:hAnsi="Verdana" w:cs="Verdana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Komorniki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XXXV/347/2026 z dnia 18 maja 2026 r.</dc:title>
  <dc:subject>w sprawie rozpatrzenia skargi osoby prawnej: Szulc-Euphenics.com p. S.A. z^siedzibą w^Warszawie</dc:subject>
  <dc:creator>rada.gminy</dc:creator>
  <cp:lastModifiedBy>rada.gminy</cp:lastModifiedBy>
  <cp:revision>1</cp:revision>
  <dcterms:created xsi:type="dcterms:W3CDTF">2026-05-21T13:35:19Z</dcterms:created>
  <dcterms:modified xsi:type="dcterms:W3CDTF">2026-05-21T13:35:19Z</dcterms:modified>
  <cp:category>Akt prawny</cp:category>
</cp:coreProperties>
</file>